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03F" w:rsidRPr="00770840" w:rsidRDefault="007C203F" w:rsidP="007C203F">
      <w:pPr>
        <w:jc w:val="right"/>
        <w:rPr>
          <w:lang w:val="bg-BG"/>
        </w:rPr>
      </w:pPr>
    </w:p>
    <w:p w:rsidR="007C203F" w:rsidRPr="00770840" w:rsidRDefault="007C203F" w:rsidP="007C203F">
      <w:pPr>
        <w:jc w:val="right"/>
        <w:rPr>
          <w:lang w:val="bg-BG"/>
        </w:rPr>
      </w:pPr>
    </w:p>
    <w:p w:rsidR="00995182" w:rsidRPr="00C5630B" w:rsidRDefault="00995182" w:rsidP="00995182">
      <w:pPr>
        <w:pStyle w:val="a3"/>
        <w:ind w:left="3600"/>
        <w:rPr>
          <w:rFonts w:ascii="Times New Roman" w:hAnsi="Times New Roman" w:cs="Times New Roman"/>
          <w:b/>
        </w:rPr>
      </w:pPr>
      <w:r w:rsidRPr="00C5630B">
        <w:rPr>
          <w:rFonts w:ascii="Times New Roman" w:hAnsi="Times New Roman" w:cs="Times New Roman"/>
          <w:b/>
        </w:rPr>
        <w:t xml:space="preserve">Д О Г О В О Р </w:t>
      </w: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ab/>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Днес, ………………………. г., </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на основание чл. 33, ал. 5, т. 11 от Кодекса за социално осигуряване, в съответствие с Правилата за реда и условията за сключване на договори за предоставяне на информация и на информационни продукти за обработване на информация и за дейности по социалното осигуряване (Правилата), между:  </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permStart w:id="9584230" w:edGrp="everyone"/>
      <w:r w:rsidRPr="00C5630B">
        <w:rPr>
          <w:rFonts w:ascii="Times New Roman" w:hAnsi="Times New Roman" w:cs="Times New Roman"/>
          <w:b/>
        </w:rPr>
        <w:t>1. ..........................................</w:t>
      </w:r>
      <w:r w:rsidRPr="00C5630B">
        <w:rPr>
          <w:rFonts w:ascii="Times New Roman" w:hAnsi="Times New Roman" w:cs="Times New Roman"/>
        </w:rPr>
        <w:t>, ЕИК ....................................., със седалище и адрес на управление: .................................................................................................., представлявано от ........................................................................................от една страна, наричано по-долу за краткост “Банката”, и</w:t>
      </w:r>
    </w:p>
    <w:permEnd w:id="9584230"/>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b/>
        </w:rPr>
        <w:t xml:space="preserve">2. НАЦИОНАЛЕН ОСИГУРИТЕЛЕН ИНСТИТУТ </w:t>
      </w:r>
      <w:r w:rsidRPr="00C5630B">
        <w:rPr>
          <w:rFonts w:ascii="Times New Roman" w:hAnsi="Times New Roman" w:cs="Times New Roman"/>
        </w:rPr>
        <w:t>(НОИ), със седалище и адрес на управление гр. София, бул. “Александър Стамболийски” № 62-64, ЕИК 121082521, представляван от …………</w:t>
      </w:r>
      <w:r>
        <w:rPr>
          <w:rFonts w:ascii="Times New Roman" w:hAnsi="Times New Roman" w:cs="Times New Roman"/>
        </w:rPr>
        <w:t>…………….</w:t>
      </w:r>
      <w:r w:rsidRPr="00C5630B">
        <w:rPr>
          <w:rFonts w:ascii="Times New Roman" w:hAnsi="Times New Roman" w:cs="Times New Roman"/>
        </w:rPr>
        <w:t>………… – Управител, наричан по-долу за краткост “НОИ”, от друга страна, се сключи настоящият договор за следното:</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І. Предмет на договора</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1. НОИ приема да предоставя на Банката срещу определена цена, съобразена с Тарифата за цените и начините на ценообразуване за изготвяне на специализирани продукти и услуги, </w:t>
      </w:r>
      <w:r>
        <w:rPr>
          <w:rFonts w:ascii="Times New Roman" w:hAnsi="Times New Roman" w:cs="Times New Roman"/>
        </w:rPr>
        <w:t>съгласно наличната некласифицирана информация,</w:t>
      </w:r>
      <w:r w:rsidRPr="00C5630B">
        <w:rPr>
          <w:rFonts w:ascii="Times New Roman" w:hAnsi="Times New Roman" w:cs="Times New Roman"/>
        </w:rPr>
        <w:t xml:space="preserve"> данни за осигуряването на физически лица, данни от регистъра на трудовите договори, данни за внесените от осигурителите осигурителни вноски, както и за отпуснатите пенсии, данни за броя на осигурените лица. Информацията обхваща данните, посочени в приложения № 1, 2, 3 и 4, представляващи неразделна част от настоящия договор. Физическите и юридическите лица, за които се искат данни, се посочват от Банката. </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1.1. Информацията обхваща период от дванадесет календарни месеца преди деня на подаването на заявка от Банката. Месецът, в който е подадена заявката, се включва в дванадесетмесечния период. </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1.2. За целите на този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a) приложение № 1 е подсправка № 2 от справка № 7 съгласно номенклатурата на НОИ;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б) приложение № 2 е справка № 2 съгласно номенклатурата на НОИ;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в) приложение № 3 е подсправка № 2 от справка № 6 съгласно номенклатурата на НОИ;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г) приложение № 4 е справка № 51 съгласно номенклатурата на НОИ.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1.3 Изброените в горната точка приложения служат за онагледяване на предоставяната съгласно договора информация и не следва да се възприемат като конкретен макет, образец, който ще бъде получаван от Банката.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2. Информацията се предоставя след подаване на заявка от страна на Банката.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3. За целите на настоящия договор Банката декларира, че:</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3.1. физическите и/или юридическите лица, за които се събира информацията, предмет на договора, са дали изричното си писмено съгласие (за физическите лица и на основание чл. 6, пар. 1, б. „а“ от Регламент (ЕС) 2016/679 </w:t>
      </w:r>
      <w:r w:rsidRPr="00C5630B">
        <w:rPr>
          <w:rFonts w:ascii="Times New Roman" w:hAnsi="Times New Roman" w:cs="Times New Roman"/>
          <w:lang w:val="en-GB"/>
        </w:rPr>
        <w:t>(</w:t>
      </w:r>
      <w:r w:rsidRPr="00C5630B">
        <w:rPr>
          <w:rFonts w:ascii="Times New Roman" w:hAnsi="Times New Roman" w:cs="Times New Roman"/>
        </w:rPr>
        <w:t>Общия регламент относно защитата на данните</w:t>
      </w:r>
      <w:r w:rsidRPr="00C5630B">
        <w:rPr>
          <w:rFonts w:ascii="Times New Roman" w:hAnsi="Times New Roman" w:cs="Times New Roman"/>
          <w:lang w:val="en-GB"/>
        </w:rPr>
        <w:t>)</w:t>
      </w:r>
      <w:r w:rsidRPr="00C5630B">
        <w:rPr>
          <w:rFonts w:ascii="Times New Roman" w:hAnsi="Times New Roman" w:cs="Times New Roman"/>
        </w:rPr>
        <w:t xml:space="preserve">) Банката да събира информацията по този договор по електронен </w:t>
      </w:r>
      <w:r w:rsidRPr="00C5630B">
        <w:rPr>
          <w:rFonts w:ascii="Times New Roman" w:hAnsi="Times New Roman" w:cs="Times New Roman"/>
        </w:rPr>
        <w:lastRenderedPageBreak/>
        <w:t xml:space="preserve">път, в обема, посочен в т. 1, включително информация за размера на съдържащия се в информационната система на НОИ осигурителен доход; съгласили са се Банката да събира информация, представляваща производствена или търговска тайна, като начислен осигурителен доход за наети на работа лица и др.  </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3.2. информацията по т. 3.1 не може да се предоставя на трети лица, вкл. за целите на управление на кредит и/или за събиране на вземания, без изрично писмено съгласие на лицето, за което се отнася и да се използва за други цели, извън даденото писмено съгласие.</w:t>
      </w: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color w:val="000000"/>
        </w:rPr>
        <w:t>3.3. съгласието, дадено от лицето за достъп на Банката до личните му данни, е неприложимо за последващ кредитор при прехвърляне на вземането на Банката (цесия).</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ІІ. Права и задължения на страните</w:t>
      </w:r>
    </w:p>
    <w:p w:rsidR="00995182" w:rsidRPr="00C5630B" w:rsidRDefault="00995182" w:rsidP="00995182">
      <w:pPr>
        <w:pStyle w:val="a3"/>
        <w:ind w:firstLine="720"/>
        <w:rPr>
          <w:rFonts w:ascii="Times New Roman" w:hAnsi="Times New Roman" w:cs="Times New Roman"/>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 Банката се задължава: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4.1. да иска предоставяне на информация, предмет на договора, чрез подаване в НОИ на заявка през SSL защитена връзка от оторизиран/и потребител/и, който/ито се представлява/т пред НОИ посредством квалифициран електронен подпис (КЕП) съгласно Закона за електронния документ и електронните удостоверителни услуги, съдържащ ЕИК на Банката. Заявката съдържа: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a) за физически лица - ЕГН, съответно качеството им на самоосигуряващи се и техния БУЛСТАТ (ако имат);</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б) за юридическите лица – ЕИК, както и допълнителни данни, ако съществува техническа възможност. </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4.2. да оказва на НОИ необходимото съдействие при изпълнение предмета на договора.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4.3. да заплаща на НОИ цена в размер и по начин, уговорени в настоящия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4.4. да обезщети в пълен размер НОИ, в случай, че НОИ претърпи вреди поради предоставяне на информация на Банката за лица, които не са давали изрично писмено съгласие Банката да получава информация за тях по този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4.5. да съдейства на НОИ, като предоставя всяка изискана информация и документи, свързани с изпълнението на този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4.6. в срок до десет работни дни след получаване на покана от НОИ да предостави възможност за извършване на проверка от служители на НОИ, с оглед реализиране на правото по т. 4.5 от настоящия договор. Проверката е за установяване наличието на изрични писмени съгласия от физическите лица за събиране на информация по този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4.7. да уведомява НОИ за необходимостта от унищожаване на данните при условията на раздел V, т. 17 от настоящия договор.</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4.8. да спазва правилата и реда за работа съгласно Приложение № 7 – Условия и ред </w:t>
      </w:r>
      <w:r w:rsidRPr="00C5630B">
        <w:rPr>
          <w:rFonts w:ascii="Times New Roman" w:hAnsi="Times New Roman" w:cs="Times New Roman"/>
          <w:bCs/>
        </w:rPr>
        <w:t>за достъп до справките по договори.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5. НОИ се задължава: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5.1. да предоставя заявената от Банката информация по електронен път, през SSL защитена връзка. Достъпът до системите на НОИ се осъществява посредством WEB Service, като данните се получават от клиента в XML формат. Липсата на</w:t>
      </w:r>
      <w:r w:rsidRPr="00C5630B">
        <w:rPr>
          <w:rFonts w:ascii="Times New Roman" w:hAnsi="Times New Roman" w:cs="Times New Roman"/>
          <w:b/>
        </w:rPr>
        <w:t xml:space="preserve"> </w:t>
      </w:r>
      <w:r w:rsidRPr="00C5630B">
        <w:rPr>
          <w:rFonts w:ascii="Times New Roman" w:hAnsi="Times New Roman" w:cs="Times New Roman"/>
        </w:rPr>
        <w:t>формуляри по раздел V, т. 18 от настоящия договор или некоректното им попълване са основание исканата информация да не бъде предоставяна.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5.2. да предоставя информация на Банката само за лица, за които има събрана информация в информационната система на НОИ за съответния период.</w:t>
      </w:r>
    </w:p>
    <w:p w:rsidR="00995182" w:rsidRPr="001E5415" w:rsidRDefault="00995182" w:rsidP="00995182">
      <w:pPr>
        <w:pStyle w:val="a3"/>
        <w:ind w:firstLine="720"/>
        <w:rPr>
          <w:rFonts w:ascii="Times New Roman" w:eastAsiaTheme="minorHAnsi" w:hAnsi="Times New Roman" w:cs="Times New Roman"/>
          <w:lang w:eastAsia="en-US"/>
        </w:rPr>
      </w:pPr>
      <w:r w:rsidRPr="001E5415">
        <w:rPr>
          <w:rFonts w:ascii="Times New Roman" w:hAnsi="Times New Roman" w:cs="Times New Roman"/>
        </w:rPr>
        <w:t xml:space="preserve">5.3. да полага усилия, за да осигури на Банката редовен on-line достъп до базата данни, с изключение на случаите, касаещи промени в регулациите на електронните </w:t>
      </w:r>
      <w:r w:rsidRPr="001E5415">
        <w:rPr>
          <w:rFonts w:ascii="Times New Roman" w:hAnsi="Times New Roman" w:cs="Times New Roman"/>
        </w:rPr>
        <w:lastRenderedPageBreak/>
        <w:t>съобщения и електронния обмен на данни, промени в изискванията, отнасящи се до стандартите за информационна сигурност</w:t>
      </w:r>
      <w:r>
        <w:rPr>
          <w:rFonts w:ascii="Times New Roman" w:hAnsi="Times New Roman" w:cs="Times New Roman"/>
        </w:rPr>
        <w:t>,</w:t>
      </w:r>
      <w:r w:rsidRPr="001E5415">
        <w:rPr>
          <w:rFonts w:ascii="Times New Roman" w:hAnsi="Times New Roman" w:cs="Times New Roman"/>
        </w:rPr>
        <w:t xml:space="preserve"> прилагани от НОИ, както и случаи</w:t>
      </w:r>
      <w:r>
        <w:rPr>
          <w:rFonts w:ascii="Times New Roman" w:hAnsi="Times New Roman" w:cs="Times New Roman"/>
        </w:rPr>
        <w:t>,</w:t>
      </w:r>
      <w:r w:rsidRPr="001E5415">
        <w:rPr>
          <w:rFonts w:ascii="Times New Roman" w:hAnsi="Times New Roman" w:cs="Times New Roman"/>
        </w:rPr>
        <w:t xml:space="preserve"> изискващи временно прекъсване на достъпа поради редовна профилактика на системите или дължащи се на непреодолима сила.</w:t>
      </w:r>
    </w:p>
    <w:p w:rsidR="00995182" w:rsidRPr="001E5415" w:rsidRDefault="00995182" w:rsidP="00995182">
      <w:pPr>
        <w:ind w:firstLine="708"/>
        <w:jc w:val="both"/>
        <w:rPr>
          <w:sz w:val="22"/>
          <w:szCs w:val="22"/>
        </w:rPr>
      </w:pPr>
      <w:r w:rsidRPr="001E5415">
        <w:t>5.4. да отправи своевременно предизвестие до Банката за дните, през които ще се извършва профилактика на системите, както и да предостави подходящ срок на банката за адаптиране към промените в регулациите на електронните съобщения и електронния обмен на данни, съответно промени в изискванията, отнасящи се до стандартите за информационна сигурност</w:t>
      </w:r>
      <w:r>
        <w:rPr>
          <w:lang w:val="bg-BG"/>
        </w:rPr>
        <w:t>,</w:t>
      </w:r>
      <w:r w:rsidRPr="001E5415">
        <w:t xml:space="preserve"> прилагани от НОИ. Съобщенията по тази точка се изпращат на  електронния адрес по т. 2</w:t>
      </w:r>
      <w:r>
        <w:rPr>
          <w:lang w:val="bg-BG"/>
        </w:rPr>
        <w:t>1</w:t>
      </w:r>
      <w:r w:rsidRPr="001E5415">
        <w:t>.</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ІІІ. Цени и начин на плащане</w:t>
      </w:r>
    </w:p>
    <w:p w:rsidR="00995182" w:rsidRPr="00C5630B" w:rsidRDefault="00995182" w:rsidP="00995182">
      <w:pPr>
        <w:pStyle w:val="a3"/>
        <w:ind w:firstLine="720"/>
        <w:rPr>
          <w:rFonts w:ascii="Times New Roman" w:hAnsi="Times New Roman" w:cs="Times New Roman"/>
          <w:b/>
        </w:rPr>
      </w:pPr>
    </w:p>
    <w:p w:rsidR="00995182" w:rsidRPr="00B2676E" w:rsidRDefault="00995182" w:rsidP="00995182">
      <w:pPr>
        <w:pStyle w:val="a3"/>
        <w:ind w:firstLine="720"/>
        <w:rPr>
          <w:rFonts w:ascii="Times New Roman" w:hAnsi="Times New Roman" w:cs="Times New Roman"/>
        </w:rPr>
      </w:pPr>
      <w:r w:rsidRPr="00B2676E">
        <w:rPr>
          <w:rFonts w:ascii="Times New Roman" w:hAnsi="Times New Roman" w:cs="Times New Roman"/>
        </w:rPr>
        <w:t>6. При изпълнение на всяка подадена заявка Банката се задължава да плати на НОИ цена, съобразена с Тарифата за цените и начините на ценообразуване за изготвяне на специализирани продукти и услуги, за всяка справка на лице, за което е поискана информация, както следва:</w:t>
      </w:r>
    </w:p>
    <w:p w:rsidR="00995182" w:rsidRPr="00B2676E" w:rsidRDefault="00995182" w:rsidP="00995182">
      <w:pPr>
        <w:pStyle w:val="a5"/>
        <w:ind w:firstLine="680"/>
        <w:rPr>
          <w:rFonts w:ascii="Times New Roman" w:hAnsi="Times New Roman" w:cs="Times New Roman"/>
        </w:rPr>
      </w:pPr>
      <w:r w:rsidRPr="00B2676E">
        <w:rPr>
          <w:rFonts w:ascii="Times New Roman" w:hAnsi="Times New Roman" w:cs="Times New Roman"/>
        </w:rPr>
        <w:t>а) за справки (подсправка № 2 от справка № 7, справка № 2, справка № 51), изпълнявани по електронен път за физическо лице:</w:t>
      </w:r>
    </w:p>
    <w:p w:rsidR="00995182" w:rsidRPr="00B2676E" w:rsidRDefault="00995182" w:rsidP="00995182">
      <w:pPr>
        <w:pStyle w:val="a5"/>
        <w:ind w:firstLine="567"/>
        <w:rPr>
          <w:rFonts w:ascii="Times New Roman" w:hAnsi="Times New Roman" w:cs="Times New Roman"/>
        </w:rPr>
      </w:pPr>
    </w:p>
    <w:tbl>
      <w:tblPr>
        <w:tblW w:w="9072" w:type="dxa"/>
        <w:tblInd w:w="562" w:type="dxa"/>
        <w:tblLayout w:type="fixed"/>
        <w:tblLook w:val="0000" w:firstRow="0" w:lastRow="0" w:firstColumn="0" w:lastColumn="0" w:noHBand="0" w:noVBand="0"/>
      </w:tblPr>
      <w:tblGrid>
        <w:gridCol w:w="4111"/>
        <w:gridCol w:w="4961"/>
      </w:tblGrid>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до 5000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1.20 лв.</w:t>
            </w:r>
          </w:p>
        </w:tc>
      </w:tr>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от 5000 до 10000 бр.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0.75 лв. за горницата над 5000 броя</w:t>
            </w:r>
          </w:p>
        </w:tc>
      </w:tr>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над 10 000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0.40 лв. за горницата над 10 000 броя.</w:t>
            </w:r>
          </w:p>
        </w:tc>
      </w:tr>
    </w:tbl>
    <w:p w:rsidR="00995182" w:rsidRPr="00B2676E" w:rsidRDefault="00995182" w:rsidP="00995182">
      <w:pPr>
        <w:pStyle w:val="a5"/>
        <w:ind w:firstLine="567"/>
        <w:rPr>
          <w:rFonts w:ascii="Times New Roman" w:hAnsi="Times New Roman" w:cs="Times New Roman"/>
        </w:rPr>
      </w:pPr>
    </w:p>
    <w:p w:rsidR="00995182" w:rsidRPr="00B2676E" w:rsidRDefault="00995182" w:rsidP="00995182">
      <w:pPr>
        <w:pStyle w:val="a5"/>
        <w:ind w:firstLine="567"/>
        <w:rPr>
          <w:rFonts w:ascii="Times New Roman" w:hAnsi="Times New Roman" w:cs="Times New Roman"/>
        </w:rPr>
      </w:pPr>
      <w:r w:rsidRPr="00B2676E">
        <w:rPr>
          <w:rFonts w:ascii="Times New Roman" w:hAnsi="Times New Roman" w:cs="Times New Roman"/>
        </w:rPr>
        <w:t>б) за справки (подсправка № 2 от справка № 6), изпълнявани по електронен път за юридическо лице:</w:t>
      </w:r>
    </w:p>
    <w:tbl>
      <w:tblPr>
        <w:tblW w:w="9072" w:type="dxa"/>
        <w:tblInd w:w="562" w:type="dxa"/>
        <w:tblLayout w:type="fixed"/>
        <w:tblLook w:val="0000" w:firstRow="0" w:lastRow="0" w:firstColumn="0" w:lastColumn="0" w:noHBand="0" w:noVBand="0"/>
      </w:tblPr>
      <w:tblGrid>
        <w:gridCol w:w="4111"/>
        <w:gridCol w:w="4961"/>
      </w:tblGrid>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до 2 000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1,80 лв.</w:t>
            </w:r>
          </w:p>
        </w:tc>
      </w:tr>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от 2 000 до 5 000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1.20 лв. за горницата над 2 000 броя</w:t>
            </w:r>
          </w:p>
        </w:tc>
      </w:tr>
      <w:tr w:rsidR="00995182" w:rsidRPr="00B2676E" w:rsidTr="00154B8C">
        <w:tc>
          <w:tcPr>
            <w:tcW w:w="4111" w:type="dxa"/>
            <w:tcBorders>
              <w:top w:val="single" w:sz="4" w:space="0" w:color="000000"/>
              <w:left w:val="single" w:sz="4" w:space="0" w:color="000000"/>
              <w:bottom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над 5 000 броя месечно</w:t>
            </w:r>
          </w:p>
        </w:tc>
        <w:tc>
          <w:tcPr>
            <w:tcW w:w="4961" w:type="dxa"/>
            <w:tcBorders>
              <w:top w:val="single" w:sz="4" w:space="0" w:color="000000"/>
              <w:left w:val="single" w:sz="4" w:space="0" w:color="000000"/>
              <w:bottom w:val="single" w:sz="4" w:space="0" w:color="000000"/>
              <w:right w:val="single" w:sz="4" w:space="0" w:color="000000"/>
            </w:tcBorders>
          </w:tcPr>
          <w:p w:rsidR="00995182" w:rsidRPr="00B2676E" w:rsidRDefault="00995182" w:rsidP="00154B8C">
            <w:pPr>
              <w:pStyle w:val="a5"/>
              <w:ind w:firstLine="567"/>
              <w:rPr>
                <w:rFonts w:ascii="Times New Roman" w:hAnsi="Times New Roman" w:cs="Times New Roman"/>
              </w:rPr>
            </w:pPr>
            <w:r w:rsidRPr="00B2676E">
              <w:rPr>
                <w:rFonts w:ascii="Times New Roman" w:hAnsi="Times New Roman" w:cs="Times New Roman"/>
              </w:rPr>
              <w:t>0,60 лв. за горницата над 5 000 броя</w:t>
            </w:r>
          </w:p>
        </w:tc>
      </w:tr>
    </w:tbl>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6.1. Цените са без данък добавена стойност.</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 xml:space="preserve">6.2. Цената по предходните точки се дължи от Банката и в случаите, когато в информационната система на НОИ липсват данни за лицето, за което е направено запитване. </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7. Цената за изпълнените заявки се заплаща след представяне на фактура от страна на НОИ по следния ред:</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7.1. НОИ издава фактура до 10-о число на всеки месец, включваща изпълнените заявки от предходния месец.</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7.2. НОИ изпраща електронна фактура на следния електронен адрес на Банката:</w:t>
      </w:r>
      <w:r w:rsidRPr="00C5630B">
        <w:rPr>
          <w:rFonts w:ascii="Times New Roman" w:hAnsi="Times New Roman" w:cs="Times New Roman"/>
        </w:rPr>
        <w:br/>
      </w:r>
      <w:permStart w:id="2103924998" w:edGrp="everyone"/>
      <w:r w:rsidRPr="00C5630B">
        <w:rPr>
          <w:rFonts w:ascii="Times New Roman" w:hAnsi="Times New Roman" w:cs="Times New Roman"/>
        </w:rPr>
        <w:t>e-mail: ............................... .</w:t>
      </w:r>
    </w:p>
    <w:permEnd w:id="2103924998"/>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7.3. Плащането по фактурата се извършва в 10 (десет) дневен срок от датата на получаването й, по банковата сметка на НОИ в Българска народна банка:</w:t>
      </w: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IBAN: BG 89 BNBG 9661 3100 1715 01</w:t>
      </w: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BIC: BNBGBGSD</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7.4. Ако дължимите суми не са платени в срока по т. 7.3, НОИ преустановява изпълнението на заявки за предоставяне на информация до изплащане на цялото задължение, включително и неустойките по т. 9.</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IV. Отговорност за неизпълнение. Гаранция в полза на НОИ, дължима от Банката</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lastRenderedPageBreak/>
        <w:t>8. В случай на забава на изпълнение на заявка, НОИ дължи неустойка в размер на 1 % (един процент) върху дължимата за съответната заявка цена за всеки просрочен ден, но не повече от 10 % (десет процента).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9. При забава на плащане Банката дължи неустойка в размер на 1 % (един процент) върху дължимата сума за всеки просрочен ден, но не повече от 10 % (десет процента).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10. Гаранцията, дължима от Банката в полза на НОИ, възлиза на 10 000 (десет хиляди) лева и следва да е валидна до 30 май 202</w:t>
      </w:r>
      <w:r>
        <w:rPr>
          <w:rFonts w:ascii="Times New Roman" w:hAnsi="Times New Roman" w:cs="Times New Roman"/>
        </w:rPr>
        <w:t>6</w:t>
      </w:r>
      <w:r w:rsidRPr="00C5630B">
        <w:rPr>
          <w:rFonts w:ascii="Times New Roman" w:hAnsi="Times New Roman" w:cs="Times New Roman"/>
        </w:rPr>
        <w:t xml:space="preserve"> г. Гаранцията се представя към момента на сключване на договора като парична сума или под формата на безусловна банкова гаранция, която дава възможност на НОИ да реализира правата по същата само въз основа на свое едностранно волеизявление. Банковата гаранция следва да съдържа опции и за частично предявяване, без това да оказва влияние върху нейната валидност и срок.</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11. НОИ има право да задържи от гаранцията дължими от страна на Банката суми за изпълнени, но незаплатени заявки, като начисли и дължимите неустойки.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12. При констатиране на нарушение на т. 3.1 и/или т. 3.2 и/или т.</w:t>
      </w:r>
      <w:r>
        <w:rPr>
          <w:rFonts w:ascii="Times New Roman" w:hAnsi="Times New Roman" w:cs="Times New Roman"/>
        </w:rPr>
        <w:t xml:space="preserve"> </w:t>
      </w:r>
      <w:r w:rsidRPr="00C5630B">
        <w:rPr>
          <w:rFonts w:ascii="Times New Roman" w:hAnsi="Times New Roman" w:cs="Times New Roman"/>
        </w:rPr>
        <w:t>3.3 от Раздел I на настоящия договор, изразяващо се в липса на съгласие, засягащо повече от 5 от проверяваните лица, НОИ има право да задържи от гаранцията сума в размер на 5000 (пет хиляди) лева.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12.1. При констатиране на нарушение на т. 3.1 и/или т. 3.2 и/или т. 3.3 от Раздел I на настоящия договор, изразяващо се в липса на съгласие, засягащо повече от 25 от проверяваните лица (тежко нарушение), НОИ има право да задържи изцяло наличната по договора гаранция и да прекрати договора.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12.2. При повторно констатиране липса на съгласие, засягащо повече от 5 проверявани от Банката лица (повторно нарушение), НОИ има право да задържи изцяло наличната по договора гаранция и да прекрати договора.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13. Когато, вследствие на направените по т. 11 и 12 удръжки, наличната по договора гаранция намалее до 5000 (пет хиляди) лева, НОИ има право да поиска от Банката да възстанови гаранцията до първоначалния размер, посочен в т. 10.</w:t>
      </w:r>
    </w:p>
    <w:p w:rsidR="00995182" w:rsidRDefault="00995182" w:rsidP="00995182">
      <w:pPr>
        <w:pStyle w:val="a3"/>
        <w:ind w:firstLine="720"/>
        <w:rPr>
          <w:rFonts w:ascii="Times New Roman" w:hAnsi="Times New Roman" w:cs="Times New Roman"/>
        </w:rPr>
      </w:pPr>
      <w:r w:rsidRPr="00C5630B">
        <w:rPr>
          <w:rFonts w:ascii="Times New Roman" w:hAnsi="Times New Roman" w:cs="Times New Roman"/>
          <w:b/>
        </w:rPr>
        <w:t xml:space="preserve"> </w:t>
      </w:r>
      <w:r w:rsidRPr="00EC4015">
        <w:rPr>
          <w:rFonts w:ascii="Times New Roman" w:hAnsi="Times New Roman" w:cs="Times New Roman"/>
        </w:rPr>
        <w:t>14.</w:t>
      </w:r>
      <w:r>
        <w:rPr>
          <w:rFonts w:ascii="Times New Roman" w:hAnsi="Times New Roman" w:cs="Times New Roman"/>
        </w:rPr>
        <w:t xml:space="preserve"> Гаранцията се освобождава в едномесечен срок от изтичане срока на договора или от неговото прекратяване, когато не са налице предпоставките за нейното усвояване по т. 11 и 12.</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V. Други условия</w:t>
      </w:r>
    </w:p>
    <w:p w:rsidR="00995182" w:rsidRPr="00C5630B" w:rsidRDefault="00995182" w:rsidP="00995182">
      <w:pPr>
        <w:pStyle w:val="a3"/>
        <w:ind w:firstLine="720"/>
        <w:rPr>
          <w:rFonts w:ascii="Times New Roman" w:hAnsi="Times New Roman" w:cs="Times New Roman"/>
          <w:b/>
        </w:rPr>
      </w:pP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5</w:t>
      </w:r>
      <w:r w:rsidRPr="00C5630B">
        <w:rPr>
          <w:rFonts w:ascii="Times New Roman" w:hAnsi="Times New Roman" w:cs="Times New Roman"/>
        </w:rPr>
        <w:t>. Настоящият договор влиза в сила от датата на неговото подписване от двете страни, но не по-рано от 1 май 202</w:t>
      </w:r>
      <w:r>
        <w:rPr>
          <w:rFonts w:ascii="Times New Roman" w:hAnsi="Times New Roman" w:cs="Times New Roman"/>
        </w:rPr>
        <w:t>3</w:t>
      </w:r>
      <w:r w:rsidRPr="00C5630B">
        <w:rPr>
          <w:rFonts w:ascii="Times New Roman" w:hAnsi="Times New Roman" w:cs="Times New Roman"/>
        </w:rPr>
        <w:t xml:space="preserve"> г. и има срок на действие до 30 април 202</w:t>
      </w:r>
      <w:r>
        <w:rPr>
          <w:rFonts w:ascii="Times New Roman" w:hAnsi="Times New Roman" w:cs="Times New Roman"/>
        </w:rPr>
        <w:t>6</w:t>
      </w:r>
      <w:r w:rsidRPr="00C5630B">
        <w:rPr>
          <w:rFonts w:ascii="Times New Roman" w:hAnsi="Times New Roman" w:cs="Times New Roman"/>
        </w:rPr>
        <w:t xml:space="preserve"> г.</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6</w:t>
      </w:r>
      <w:r w:rsidRPr="00C5630B">
        <w:rPr>
          <w:rFonts w:ascii="Times New Roman" w:hAnsi="Times New Roman" w:cs="Times New Roman"/>
        </w:rPr>
        <w:t>. Настоящият договор може да бъде прекратен, освен поради изтичане на срока, в следните случаи:</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6</w:t>
      </w:r>
      <w:r w:rsidRPr="00C5630B">
        <w:rPr>
          <w:rFonts w:ascii="Times New Roman" w:hAnsi="Times New Roman" w:cs="Times New Roman"/>
        </w:rPr>
        <w:t>.1. по взаимно съгласие на страните, изразено в писмена форма;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6</w:t>
      </w:r>
      <w:r w:rsidRPr="00C5630B">
        <w:rPr>
          <w:rFonts w:ascii="Times New Roman" w:hAnsi="Times New Roman" w:cs="Times New Roman"/>
        </w:rPr>
        <w:t>.2. при констатиране на тежко или повторно нарушение на т. 3.1 и/или т. 3.2 и/или т. 3.3 от Раздел I по смисъла и при условията на т. 12.1 или т. 12.2 - от датата, следваща датата на получаване на писменото уведомление;</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6</w:t>
      </w:r>
      <w:r w:rsidRPr="00C5630B">
        <w:rPr>
          <w:rFonts w:ascii="Times New Roman" w:hAnsi="Times New Roman" w:cs="Times New Roman"/>
        </w:rPr>
        <w:t>.3. от изправната страна – при допуснато неизпълнение на задълженията от другата страна, договорът се прекратява от датата, следваща датата на получаване на писменото уведомление;</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6</w:t>
      </w:r>
      <w:r w:rsidRPr="00C5630B">
        <w:rPr>
          <w:rFonts w:ascii="Times New Roman" w:hAnsi="Times New Roman" w:cs="Times New Roman"/>
        </w:rPr>
        <w:t>.4. от всяка от страните - с едномесечно предизвестие в писмена форма.</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7</w:t>
      </w:r>
      <w:r w:rsidRPr="00C5630B">
        <w:rPr>
          <w:rFonts w:ascii="Times New Roman" w:hAnsi="Times New Roman" w:cs="Times New Roman"/>
        </w:rPr>
        <w:t xml:space="preserve">. Споровете, възникнали във връзка с изпълнението или тълкуването на настоящия договор се разрешават в дух на добра воля по споразумение на страните, а </w:t>
      </w:r>
      <w:r w:rsidRPr="00C5630B">
        <w:rPr>
          <w:rFonts w:ascii="Times New Roman" w:hAnsi="Times New Roman" w:cs="Times New Roman"/>
        </w:rPr>
        <w:lastRenderedPageBreak/>
        <w:t>когато постигането на съгласие се окаже невъзможно, споровете се отнасят за разрешаване пред компетентния съд.</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1</w:t>
      </w:r>
      <w:r>
        <w:rPr>
          <w:rFonts w:ascii="Times New Roman" w:hAnsi="Times New Roman" w:cs="Times New Roman"/>
        </w:rPr>
        <w:t>8</w:t>
      </w:r>
      <w:r w:rsidRPr="00C5630B">
        <w:rPr>
          <w:rFonts w:ascii="Times New Roman" w:hAnsi="Times New Roman" w:cs="Times New Roman"/>
        </w:rPr>
        <w:t>. Във връзка със становище на КЗЛД, рег. № П-6838 от 12.02.2013 г., страните определят разумен срок - 3 месеца, за съхраняване на лични данни след постигане на целта, за която същите са обработвани. Срокът започва да тече от датата на получаване от НОИ на уведомление от Банката за необходимостта от унищожаване на данните. В случай, че в 3-месечния период НОИ не извърши проверка при условията на т. 4.6 от договора, Банката може да пристъпи към унищожаване на данните, като отрази същото в протокол. Протоколът се съхранява в петгодишен срок.</w:t>
      </w:r>
    </w:p>
    <w:p w:rsidR="00995182" w:rsidRDefault="00995182" w:rsidP="00995182">
      <w:pPr>
        <w:ind w:firstLine="720"/>
        <w:jc w:val="both"/>
      </w:pPr>
      <w:r w:rsidRPr="00C5630B">
        <w:rPr>
          <w:lang w:val="bg-BG"/>
        </w:rPr>
        <w:t>1</w:t>
      </w:r>
      <w:r>
        <w:rPr>
          <w:lang w:val="bg-BG"/>
        </w:rPr>
        <w:t>9</w:t>
      </w:r>
      <w:r w:rsidRPr="00C5630B">
        <w:rPr>
          <w:lang w:val="bg-BG"/>
        </w:rPr>
        <w:t xml:space="preserve">. </w:t>
      </w:r>
      <w:r>
        <w:rPr>
          <w:lang w:val="en-US"/>
        </w:rPr>
        <w:t>(</w:t>
      </w:r>
      <w:r>
        <w:rPr>
          <w:lang w:val="bg-BG"/>
        </w:rPr>
        <w:t>1</w:t>
      </w:r>
      <w:r>
        <w:rPr>
          <w:lang w:val="en-US"/>
        </w:rPr>
        <w:t>)</w:t>
      </w:r>
      <w:r>
        <w:t xml:space="preserve"> Неразделна част от настоящия договор са приложенията към същия:</w:t>
      </w:r>
    </w:p>
    <w:p w:rsidR="00995182" w:rsidRPr="00C32B79" w:rsidRDefault="00995182" w:rsidP="00995182">
      <w:pPr>
        <w:ind w:firstLine="720"/>
        <w:jc w:val="both"/>
      </w:pPr>
      <w:r w:rsidRPr="00C32B79">
        <w:t>1. Приложение № 5 - Заявление за активиране/деактивиране достъпа на представляващия и/или оправомощено/и от него лице/а (до двама) за администриране на потребителите на Банката/Дружеството;</w:t>
      </w:r>
    </w:p>
    <w:p w:rsidR="00995182" w:rsidRDefault="00995182" w:rsidP="00995182">
      <w:pPr>
        <w:ind w:firstLine="708"/>
        <w:rPr>
          <w:b/>
        </w:rPr>
      </w:pPr>
      <w:r w:rsidRPr="00C32B79">
        <w:t xml:space="preserve">2. Приложение № 6 - Заявление за </w:t>
      </w:r>
      <w:r w:rsidRPr="00C32B79">
        <w:rPr>
          <w:lang w:val="en-US"/>
        </w:rPr>
        <w:t xml:space="preserve">IP </w:t>
      </w:r>
      <w:r w:rsidRPr="00C32B79">
        <w:t>адрес/и;</w:t>
      </w:r>
    </w:p>
    <w:p w:rsidR="00995182" w:rsidRDefault="00995182" w:rsidP="00995182">
      <w:pPr>
        <w:ind w:firstLine="708"/>
      </w:pPr>
      <w:r w:rsidRPr="00C32B79">
        <w:t xml:space="preserve">3. Приложение № 7 – Условия и ред за достъп до справките по договори. </w:t>
      </w:r>
    </w:p>
    <w:p w:rsidR="00995182" w:rsidRDefault="00995182" w:rsidP="00995182">
      <w:pPr>
        <w:ind w:firstLine="720"/>
        <w:jc w:val="both"/>
      </w:pPr>
      <w:r>
        <w:rPr>
          <w:lang w:val="en-US"/>
        </w:rPr>
        <w:t>(2)</w:t>
      </w:r>
      <w:r>
        <w:t xml:space="preserve"> Промени в приложенията по ал. 1, т. 1 и 2 се правят по указания в тях ред.</w:t>
      </w:r>
    </w:p>
    <w:p w:rsidR="00995182" w:rsidRPr="00C5630B" w:rsidRDefault="00995182" w:rsidP="00995182">
      <w:pPr>
        <w:ind w:firstLine="720"/>
        <w:jc w:val="both"/>
        <w:rPr>
          <w:color w:val="000000"/>
          <w:lang w:val="bg-BG"/>
        </w:rPr>
      </w:pPr>
      <w:r>
        <w:rPr>
          <w:color w:val="000000"/>
          <w:lang w:val="bg-BG"/>
        </w:rPr>
        <w:t>20</w:t>
      </w:r>
      <w:r w:rsidRPr="00C5630B">
        <w:rPr>
          <w:color w:val="000000"/>
          <w:lang w:val="bg-BG"/>
        </w:rPr>
        <w:t>. За целите на настоящия договор, в съответствие с Правилата и със Становище на КЗЛД рег. № НДМСПО-10-1/08.07.2019 г., страните приемат следното:</w:t>
      </w:r>
    </w:p>
    <w:p w:rsidR="00995182" w:rsidRPr="00C5630B" w:rsidRDefault="00995182" w:rsidP="00995182">
      <w:pPr>
        <w:ind w:firstLine="720"/>
        <w:jc w:val="both"/>
        <w:rPr>
          <w:color w:val="000000"/>
          <w:lang w:val="bg-BG"/>
        </w:rPr>
      </w:pPr>
      <w:r>
        <w:rPr>
          <w:color w:val="000000"/>
          <w:lang w:val="bg-BG"/>
        </w:rPr>
        <w:t>20</w:t>
      </w:r>
      <w:r w:rsidRPr="00C5630B">
        <w:rPr>
          <w:color w:val="000000"/>
          <w:lang w:val="bg-BG"/>
        </w:rPr>
        <w:t>.1. Определение за „писмено съгласие“:</w:t>
      </w:r>
    </w:p>
    <w:p w:rsidR="00995182" w:rsidRPr="00C5630B" w:rsidRDefault="00995182" w:rsidP="00995182">
      <w:pPr>
        <w:ind w:firstLine="720"/>
        <w:jc w:val="both"/>
        <w:rPr>
          <w:i/>
          <w:color w:val="000000"/>
          <w:lang w:val="bg-BG"/>
        </w:rPr>
      </w:pPr>
      <w:r w:rsidRPr="00C5630B">
        <w:rPr>
          <w:i/>
          <w:color w:val="000000"/>
          <w:lang w:val="bg-BG"/>
        </w:rPr>
        <w:t>Писмено съгласие е изрично волеизявление на лицето за достъп на ползвателя до личните му данни, съдържащи се в информационната система на НОИ, подписано:</w:t>
      </w:r>
    </w:p>
    <w:p w:rsidR="00995182" w:rsidRPr="00C5630B" w:rsidRDefault="00995182" w:rsidP="00995182">
      <w:pPr>
        <w:ind w:firstLine="720"/>
        <w:jc w:val="both"/>
        <w:rPr>
          <w:i/>
          <w:color w:val="000000"/>
          <w:lang w:val="bg-BG"/>
        </w:rPr>
      </w:pPr>
      <w:r w:rsidRPr="00C5630B">
        <w:rPr>
          <w:i/>
          <w:color w:val="000000"/>
          <w:lang w:val="bg-BG"/>
        </w:rPr>
        <w:t xml:space="preserve">а. собственоръчно на хартиен носител или </w:t>
      </w:r>
    </w:p>
    <w:p w:rsidR="00995182" w:rsidRPr="00C5630B" w:rsidRDefault="00995182" w:rsidP="00995182">
      <w:pPr>
        <w:ind w:firstLine="720"/>
        <w:jc w:val="both"/>
        <w:rPr>
          <w:i/>
          <w:color w:val="000000"/>
          <w:lang w:val="bg-BG"/>
        </w:rPr>
      </w:pPr>
      <w:r w:rsidRPr="00C5630B">
        <w:rPr>
          <w:i/>
          <w:color w:val="000000"/>
          <w:lang w:val="bg-BG"/>
        </w:rPr>
        <w:t xml:space="preserve">б. чрез квалифициран електронен подпис по чл. 13, ал. 3 от Закона за електронния документ и електронните удостоверителни услуги или </w:t>
      </w:r>
    </w:p>
    <w:p w:rsidR="00995182" w:rsidRPr="00C5630B" w:rsidRDefault="00995182" w:rsidP="00995182">
      <w:pPr>
        <w:ind w:firstLine="720"/>
        <w:jc w:val="both"/>
        <w:rPr>
          <w:i/>
          <w:color w:val="000000"/>
          <w:lang w:val="bg-BG"/>
        </w:rPr>
      </w:pPr>
      <w:r w:rsidRPr="00C5630B">
        <w:rPr>
          <w:i/>
          <w:color w:val="000000"/>
          <w:lang w:val="bg-BG"/>
        </w:rPr>
        <w:t xml:space="preserve">в. чрез </w:t>
      </w:r>
      <w:r w:rsidRPr="00C5630B">
        <w:rPr>
          <w:i/>
          <w:color w:val="000000"/>
          <w:shd w:val="clear" w:color="auto" w:fill="FFFFFF"/>
        </w:rPr>
        <w:t>персонал</w:t>
      </w:r>
      <w:r w:rsidRPr="00C5630B">
        <w:rPr>
          <w:i/>
          <w:color w:val="000000"/>
          <w:shd w:val="clear" w:color="auto" w:fill="FFFFFF"/>
          <w:lang w:val="bg-BG"/>
        </w:rPr>
        <w:t>е</w:t>
      </w:r>
      <w:r w:rsidRPr="00C5630B">
        <w:rPr>
          <w:i/>
          <w:color w:val="000000"/>
          <w:shd w:val="clear" w:color="auto" w:fill="FFFFFF"/>
        </w:rPr>
        <w:t>н идентификационен код, изда</w:t>
      </w:r>
      <w:r w:rsidRPr="00C5630B">
        <w:rPr>
          <w:i/>
          <w:color w:val="000000"/>
          <w:shd w:val="clear" w:color="auto" w:fill="FFFFFF"/>
          <w:lang w:val="bg-BG"/>
        </w:rPr>
        <w:t>де</w:t>
      </w:r>
      <w:r w:rsidRPr="00C5630B">
        <w:rPr>
          <w:i/>
          <w:color w:val="000000"/>
          <w:shd w:val="clear" w:color="auto" w:fill="FFFFFF"/>
        </w:rPr>
        <w:t xml:space="preserve">н от Националната агенция за приходите или </w:t>
      </w:r>
      <w:r w:rsidRPr="00C5630B">
        <w:rPr>
          <w:i/>
          <w:color w:val="000000"/>
          <w:shd w:val="clear" w:color="auto" w:fill="FFFFFF"/>
          <w:lang w:val="bg-BG"/>
        </w:rPr>
        <w:t>НОИ</w:t>
      </w:r>
      <w:r w:rsidRPr="00C5630B">
        <w:rPr>
          <w:i/>
          <w:color w:val="000000"/>
          <w:shd w:val="clear" w:color="auto" w:fill="FFFFFF"/>
        </w:rPr>
        <w:t xml:space="preserve">, както и </w:t>
      </w:r>
      <w:r w:rsidRPr="00C5630B">
        <w:rPr>
          <w:i/>
          <w:color w:val="000000"/>
          <w:shd w:val="clear" w:color="auto" w:fill="FFFFFF"/>
          <w:lang w:val="bg-BG"/>
        </w:rPr>
        <w:t xml:space="preserve">чрез </w:t>
      </w:r>
      <w:r w:rsidRPr="00C5630B">
        <w:rPr>
          <w:i/>
          <w:color w:val="000000"/>
          <w:shd w:val="clear" w:color="auto" w:fill="FFFFFF"/>
        </w:rPr>
        <w:t>уникал</w:t>
      </w:r>
      <w:r w:rsidRPr="00C5630B">
        <w:rPr>
          <w:i/>
          <w:color w:val="000000"/>
          <w:shd w:val="clear" w:color="auto" w:fill="FFFFFF"/>
          <w:lang w:val="bg-BG"/>
        </w:rPr>
        <w:t>е</w:t>
      </w:r>
      <w:r w:rsidRPr="00C5630B">
        <w:rPr>
          <w:i/>
          <w:color w:val="000000"/>
          <w:shd w:val="clear" w:color="auto" w:fill="FFFFFF"/>
        </w:rPr>
        <w:t>н код за достъп, изда</w:t>
      </w:r>
      <w:r w:rsidRPr="00C5630B">
        <w:rPr>
          <w:i/>
          <w:color w:val="000000"/>
          <w:shd w:val="clear" w:color="auto" w:fill="FFFFFF"/>
          <w:lang w:val="bg-BG"/>
        </w:rPr>
        <w:t>ден</w:t>
      </w:r>
      <w:r w:rsidRPr="00C5630B">
        <w:rPr>
          <w:i/>
          <w:color w:val="000000"/>
          <w:shd w:val="clear" w:color="auto" w:fill="FFFFFF"/>
        </w:rPr>
        <w:t xml:space="preserve"> от Националната здравноосигурителна каса</w:t>
      </w:r>
      <w:r w:rsidRPr="00C5630B">
        <w:rPr>
          <w:i/>
          <w:color w:val="000000"/>
          <w:shd w:val="clear" w:color="auto" w:fill="FFFFFF"/>
          <w:lang w:val="bg-BG"/>
        </w:rPr>
        <w:t xml:space="preserve"> – при действието на § 5, ал. 2 от ПЗР на Наредба за общите изисквания към информационните системи, регистрите и електронните административни услуги.</w:t>
      </w:r>
    </w:p>
    <w:p w:rsidR="00995182" w:rsidRPr="00C5630B" w:rsidRDefault="00995182" w:rsidP="00995182">
      <w:pPr>
        <w:ind w:firstLine="720"/>
        <w:jc w:val="both"/>
        <w:rPr>
          <w:color w:val="000000"/>
          <w:lang w:val="bg-BG"/>
        </w:rPr>
      </w:pPr>
      <w:r>
        <w:rPr>
          <w:color w:val="000000"/>
          <w:lang w:val="bg-BG"/>
        </w:rPr>
        <w:t>20</w:t>
      </w:r>
      <w:r w:rsidRPr="00C5630B">
        <w:rPr>
          <w:color w:val="000000"/>
          <w:lang w:val="bg-BG"/>
        </w:rPr>
        <w:t xml:space="preserve">.2. При прехвърляне на вземането </w:t>
      </w:r>
      <w:r w:rsidRPr="00C5630B">
        <w:rPr>
          <w:color w:val="000000"/>
        </w:rPr>
        <w:t>(</w:t>
      </w:r>
      <w:r w:rsidRPr="00C5630B">
        <w:rPr>
          <w:color w:val="000000"/>
          <w:lang w:val="bg-BG"/>
        </w:rPr>
        <w:t>цесия</w:t>
      </w:r>
      <w:r w:rsidRPr="00C5630B">
        <w:rPr>
          <w:color w:val="000000"/>
        </w:rPr>
        <w:t>)</w:t>
      </w:r>
      <w:r w:rsidRPr="00C5630B">
        <w:rPr>
          <w:color w:val="000000"/>
          <w:lang w:val="bg-BG"/>
        </w:rPr>
        <w:t xml:space="preserve"> писменото съгласие за обработване на данъчна и осигурителна информация, дадено пред предходен кредитор – кредитна или финансова институция, е за целите на изпълнението на законовото му задължение за оценка на кредитоспособността. В този смисъл конкретното изброяване на трети лица в съгласието, дадено пред първоначалния кредитор, е неприложимо за последващия кредитор, тъй като от една страна то има за адресат НОИ, а не страните по договора за кредит, а от друга – то е дадено за конкретно действие, вече извършено от предходния кредитор и не е валидно за бъдещи действия. </w:t>
      </w:r>
    </w:p>
    <w:p w:rsidR="00995182" w:rsidRPr="00C5630B" w:rsidRDefault="00995182" w:rsidP="00995182">
      <w:pPr>
        <w:ind w:firstLine="720"/>
        <w:jc w:val="both"/>
        <w:rPr>
          <w:lang w:val="bg-BG"/>
        </w:rPr>
      </w:pPr>
      <w:r w:rsidRPr="00C5630B">
        <w:rPr>
          <w:lang w:val="bg-BG"/>
        </w:rPr>
        <w:t>2</w:t>
      </w:r>
      <w:r>
        <w:rPr>
          <w:lang w:val="bg-BG"/>
        </w:rPr>
        <w:t>1</w:t>
      </w:r>
      <w:r w:rsidRPr="00C5630B">
        <w:rPr>
          <w:lang w:val="bg-BG"/>
        </w:rPr>
        <w:t>. Страните се съгласяват да разменят уведомления във връзка с технологичния ред за предоставяне на информация по този договор, на посочените електронни адреси:</w:t>
      </w:r>
    </w:p>
    <w:p w:rsidR="00995182" w:rsidRPr="00C5630B" w:rsidRDefault="00995182" w:rsidP="00995182">
      <w:pPr>
        <w:ind w:firstLine="720"/>
        <w:jc w:val="both"/>
        <w:rPr>
          <w:lang w:val="bg-BG"/>
        </w:rPr>
      </w:pPr>
      <w:bookmarkStart w:id="0" w:name="_GoBack"/>
      <w:permStart w:id="1062952914" w:edGrp="everyone"/>
      <w:r w:rsidRPr="00C5630B">
        <w:rPr>
          <w:lang w:val="bg-BG"/>
        </w:rPr>
        <w:t>а. за Банката - ……………………………………………………………..</w:t>
      </w:r>
    </w:p>
    <w:bookmarkEnd w:id="0"/>
    <w:permEnd w:id="1062952914"/>
    <w:p w:rsidR="00995182" w:rsidRPr="00C5630B" w:rsidRDefault="00995182" w:rsidP="00995182">
      <w:pPr>
        <w:ind w:firstLine="720"/>
        <w:jc w:val="both"/>
        <w:rPr>
          <w:bCs/>
          <w:lang w:val="bg-BG"/>
        </w:rPr>
      </w:pPr>
      <w:r w:rsidRPr="00C5630B">
        <w:rPr>
          <w:lang w:val="bg-BG"/>
        </w:rPr>
        <w:t xml:space="preserve">б. за НОИ - </w:t>
      </w:r>
      <w:hyperlink r:id="rId4" w:history="1">
        <w:r w:rsidRPr="00C5630B">
          <w:rPr>
            <w:rStyle w:val="a7"/>
            <w:bCs/>
          </w:rPr>
          <w:t>WS_Support@nssi.bg</w:t>
        </w:r>
      </w:hyperlink>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2</w:t>
      </w:r>
      <w:r>
        <w:rPr>
          <w:rFonts w:ascii="Times New Roman" w:hAnsi="Times New Roman" w:cs="Times New Roman"/>
        </w:rPr>
        <w:t>2</w:t>
      </w:r>
      <w:r w:rsidRPr="00C5630B">
        <w:rPr>
          <w:rFonts w:ascii="Times New Roman" w:hAnsi="Times New Roman" w:cs="Times New Roman"/>
        </w:rPr>
        <w:t>. За неуредените в настоящия договор въпроси се прилагат разпоредбите на действащото българско законодателство.</w:t>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ab/>
      </w:r>
    </w:p>
    <w:p w:rsidR="00995182" w:rsidRPr="00C5630B" w:rsidRDefault="00995182" w:rsidP="00995182">
      <w:pPr>
        <w:pStyle w:val="a3"/>
        <w:ind w:firstLine="720"/>
        <w:rPr>
          <w:rFonts w:ascii="Times New Roman" w:hAnsi="Times New Roman" w:cs="Times New Roman"/>
        </w:rPr>
      </w:pPr>
      <w:r w:rsidRPr="00C5630B">
        <w:rPr>
          <w:rFonts w:ascii="Times New Roman" w:hAnsi="Times New Roman" w:cs="Times New Roman"/>
        </w:rPr>
        <w:t>Настоящият договор се състави и подписа в два еднообразни екземпляра – по един за всяка от страните.</w:t>
      </w:r>
    </w:p>
    <w:p w:rsidR="00995182" w:rsidRPr="00C5630B" w:rsidRDefault="00995182" w:rsidP="00995182">
      <w:pPr>
        <w:pStyle w:val="a3"/>
        <w:ind w:firstLine="720"/>
        <w:rPr>
          <w:rFonts w:ascii="Times New Roman" w:hAnsi="Times New Roman" w:cs="Times New Roman"/>
          <w:b/>
        </w:rPr>
      </w:pPr>
      <w:r w:rsidRPr="00C5630B">
        <w:rPr>
          <w:rFonts w:ascii="Times New Roman" w:hAnsi="Times New Roman" w:cs="Times New Roman"/>
          <w:b/>
        </w:rPr>
        <w:tab/>
      </w:r>
    </w:p>
    <w:p w:rsidR="00995182" w:rsidRPr="00C5630B" w:rsidRDefault="00995182" w:rsidP="00995182">
      <w:pPr>
        <w:pStyle w:val="a3"/>
        <w:ind w:firstLine="720"/>
        <w:rPr>
          <w:rFonts w:ascii="Times New Roman" w:hAnsi="Times New Roman" w:cs="Times New Roman"/>
          <w:b/>
        </w:rPr>
      </w:pPr>
    </w:p>
    <w:p w:rsidR="00995182" w:rsidRDefault="00995182" w:rsidP="00995182">
      <w:pPr>
        <w:pStyle w:val="a3"/>
        <w:tabs>
          <w:tab w:val="clear" w:pos="0"/>
          <w:tab w:val="clear" w:pos="7938"/>
        </w:tabs>
        <w:ind w:firstLine="720"/>
        <w:rPr>
          <w:rFonts w:ascii="Times New Roman" w:hAnsi="Times New Roman" w:cs="Times New Roman"/>
        </w:rPr>
      </w:pPr>
      <w:r w:rsidRPr="00C5630B">
        <w:rPr>
          <w:rFonts w:ascii="Times New Roman" w:hAnsi="Times New Roman" w:cs="Times New Roman"/>
          <w:b/>
        </w:rPr>
        <w:t>За ................................. АД</w:t>
      </w:r>
      <w:r w:rsidRPr="00C5630B">
        <w:rPr>
          <w:rFonts w:ascii="Times New Roman" w:hAnsi="Times New Roman" w:cs="Times New Roman"/>
          <w:b/>
        </w:rPr>
        <w:tab/>
        <w:t xml:space="preserve">                  За НОИ:</w:t>
      </w:r>
      <w:r w:rsidRPr="00C5630B">
        <w:rPr>
          <w:rFonts w:ascii="Times New Roman" w:hAnsi="Times New Roman" w:cs="Times New Roman"/>
        </w:rPr>
        <w:tab/>
      </w:r>
    </w:p>
    <w:p w:rsidR="006668D4" w:rsidRDefault="006668D4" w:rsidP="00995182">
      <w:pPr>
        <w:pStyle w:val="a3"/>
        <w:ind w:left="3600"/>
      </w:pPr>
    </w:p>
    <w:sectPr w:rsidR="00666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readOnly" w:enforcement="1" w:cryptProviderType="rsaAES" w:cryptAlgorithmClass="hash" w:cryptAlgorithmType="typeAny" w:cryptAlgorithmSid="14" w:cryptSpinCount="100000" w:hash="8qv5BeoDgWPLNbnYgr1pI7iIlzYb5gcqiQdhbZyGzkWpoEqQIC+tsLNwM6qImES8DIM+OAHhNiDc6lOQUkCirw==" w:salt="w5T618rq+cYttgcaU9tWV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3F"/>
    <w:rsid w:val="0028696D"/>
    <w:rsid w:val="006668D4"/>
    <w:rsid w:val="007C203F"/>
    <w:rsid w:val="00995182"/>
    <w:rsid w:val="00D54B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0671F-BF48-4951-A35A-3CA7595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03F"/>
    <w:pPr>
      <w:suppressAutoHyphens/>
      <w:spacing w:after="0" w:line="240" w:lineRule="auto"/>
    </w:pPr>
    <w:rPr>
      <w:rFonts w:ascii="Times New Roman" w:eastAsia="Calibri"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C203F"/>
    <w:pPr>
      <w:tabs>
        <w:tab w:val="left" w:pos="0"/>
        <w:tab w:val="left" w:pos="7938"/>
      </w:tabs>
      <w:ind w:firstLine="709"/>
      <w:jc w:val="both"/>
    </w:pPr>
    <w:rPr>
      <w:rFonts w:ascii="Arial" w:hAnsi="Arial" w:cs="Arial"/>
      <w:lang w:val="bg-BG"/>
    </w:rPr>
  </w:style>
  <w:style w:type="character" w:customStyle="1" w:styleId="a4">
    <w:name w:val="Основен текст Знак"/>
    <w:basedOn w:val="a0"/>
    <w:link w:val="a3"/>
    <w:semiHidden/>
    <w:rsid w:val="007C203F"/>
    <w:rPr>
      <w:rFonts w:ascii="Arial" w:eastAsia="Calibri" w:hAnsi="Arial" w:cs="Arial"/>
      <w:sz w:val="24"/>
      <w:szCs w:val="24"/>
      <w:lang w:eastAsia="zh-CN"/>
    </w:rPr>
  </w:style>
  <w:style w:type="paragraph" w:styleId="a5">
    <w:name w:val="Body Text Indent"/>
    <w:basedOn w:val="a"/>
    <w:link w:val="a6"/>
    <w:semiHidden/>
    <w:rsid w:val="007C203F"/>
    <w:pPr>
      <w:tabs>
        <w:tab w:val="left" w:pos="0"/>
      </w:tabs>
      <w:ind w:firstLine="740"/>
      <w:jc w:val="both"/>
    </w:pPr>
    <w:rPr>
      <w:rFonts w:ascii="TmsCyr" w:hAnsi="TmsCyr" w:cs="TmsCyr"/>
      <w:lang w:val="bg-BG"/>
    </w:rPr>
  </w:style>
  <w:style w:type="character" w:customStyle="1" w:styleId="a6">
    <w:name w:val="Основен текст с отстъп Знак"/>
    <w:basedOn w:val="a0"/>
    <w:link w:val="a5"/>
    <w:semiHidden/>
    <w:rsid w:val="007C203F"/>
    <w:rPr>
      <w:rFonts w:ascii="TmsCyr" w:eastAsia="Calibri" w:hAnsi="TmsCyr" w:cs="TmsCyr"/>
      <w:sz w:val="24"/>
      <w:szCs w:val="24"/>
      <w:lang w:eastAsia="zh-CN"/>
    </w:rPr>
  </w:style>
  <w:style w:type="character" w:styleId="a7">
    <w:name w:val="Hyperlink"/>
    <w:semiHidden/>
    <w:rsid w:val="007C2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_Support@nss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12609</Characters>
  <Application>Microsoft Office Word</Application>
  <DocSecurity>8</DocSecurity>
  <Lines>105</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Красимира Ц. Атанасова</dc:creator>
  <cp:keywords/>
  <dc:description/>
  <cp:lastModifiedBy>Елисавета К. Черкезова</cp:lastModifiedBy>
  <cp:revision>2</cp:revision>
  <dcterms:created xsi:type="dcterms:W3CDTF">2023-03-16T10:53:00Z</dcterms:created>
  <dcterms:modified xsi:type="dcterms:W3CDTF">2023-03-16T10:53:00Z</dcterms:modified>
</cp:coreProperties>
</file>